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黑体" w:cs="Times New Roman"/>
          <w:sz w:val="32"/>
          <w:szCs w:val="32"/>
          <w:lang w:val="en-US" w:eastAsia="zh-CN"/>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olor w:val="auto"/>
          <w:sz w:val="32"/>
          <w:szCs w:val="32"/>
          <w:lang w:val="en-US" w:eastAsia="zh-CN"/>
        </w:rPr>
        <w:t>一、</w:t>
      </w:r>
      <w:r>
        <w:rPr>
          <w:rFonts w:hint="eastAsia" w:ascii="黑体" w:hAnsi="黑体" w:eastAsia="黑体" w:cstheme="minorBidi"/>
          <w:color w:val="auto"/>
          <w:kern w:val="2"/>
          <w:sz w:val="32"/>
          <w:szCs w:val="32"/>
          <w:lang w:val="en-US" w:eastAsia="zh-CN" w:bidi="ar-SA"/>
        </w:rPr>
        <w:t>防腐剂混合使用时各自用量占其最大使用量的比例之和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防腐剂是指天然或合成的化学成分，用于延缓或抑制由微生物引起的食品腐败变质。常见的防腐剂有苯甲酸及其钠盐、山梨酸及其钠盐等。《食品安全国家标准 食品添加剂使用标准》（GB 2760—2014）中规定，防腐剂混合使用时，各自用量占其最大使用量的比例之和不得超过1。糕点中防腐剂混合使用时各自用量占其最大使用量的比例之和超标的原因，可能是生产企业对国家标准不够了解，从而过量添加多种不同的防腐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592" w:firstLineChars="200"/>
        <w:jc w:val="left"/>
        <w:textAlignment w:val="auto"/>
        <w:rPr>
          <w:rFonts w:hint="default" w:ascii="黑体" w:hAnsi="黑体" w:eastAsia="黑体" w:cstheme="minorBidi"/>
          <w:color w:val="auto"/>
          <w:kern w:val="2"/>
          <w:sz w:val="32"/>
          <w:szCs w:val="32"/>
          <w:lang w:val="en-US" w:eastAsia="zh-CN" w:bidi="ar-SA"/>
        </w:rPr>
      </w:pPr>
      <w:r>
        <w:rPr>
          <w:rFonts w:hint="eastAsia" w:ascii="黑体" w:hAnsi="黑体" w:eastAsia="黑体"/>
          <w:color w:val="auto"/>
          <w:spacing w:val="-12"/>
          <w:sz w:val="32"/>
          <w:szCs w:val="32"/>
          <w:lang w:val="en-US" w:eastAsia="zh-CN"/>
        </w:rPr>
        <w:t>二、酸价</w:t>
      </w:r>
    </w:p>
    <w:p>
      <w:pPr>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酸价主要反映食品中油脂的酸败程度。酸价超标会导致食品有哈喇味，超标严重时所产生的醛、酮、酸会破坏脂溶性维生素，导致肠胃不适。黑芝麻中酸价超标的原因，可能是产品储藏条件不当引起。</w:t>
      </w:r>
    </w:p>
    <w:p>
      <w:pPr>
        <w:keepNext w:val="0"/>
        <w:keepLines w:val="0"/>
        <w:pageBreakBefore w:val="0"/>
        <w:kinsoku/>
        <w:wordWrap/>
        <w:overflowPunct/>
        <w:topLinePunct w:val="0"/>
        <w:autoSpaceDE/>
        <w:autoSpaceDN/>
        <w:bidi w:val="0"/>
        <w:spacing w:line="590" w:lineRule="exact"/>
        <w:ind w:firstLine="592" w:firstLineChars="200"/>
        <w:textAlignment w:val="auto"/>
        <w:rPr>
          <w:rFonts w:hint="default" w:ascii="黑体" w:hAnsi="黑体" w:eastAsia="黑体"/>
          <w:color w:val="auto"/>
          <w:sz w:val="32"/>
          <w:szCs w:val="32"/>
          <w:lang w:val="en-US" w:eastAsia="zh-CN"/>
        </w:rPr>
      </w:pPr>
      <w:r>
        <w:rPr>
          <w:rFonts w:hint="eastAsia" w:eastAsia="黑体"/>
          <w:color w:val="auto"/>
          <w:spacing w:val="-12"/>
          <w:sz w:val="32"/>
          <w:szCs w:val="32"/>
          <w:lang w:val="en-US" w:eastAsia="zh-CN"/>
        </w:rPr>
        <w:t>三、</w:t>
      </w:r>
      <w:r>
        <w:rPr>
          <w:rFonts w:hint="eastAsia" w:ascii="黑体" w:hAnsi="黑体" w:eastAsia="黑体"/>
          <w:color w:val="auto"/>
          <w:sz w:val="32"/>
          <w:szCs w:val="32"/>
          <w:lang w:val="en-US" w:eastAsia="zh-CN"/>
        </w:rPr>
        <w:t>大肠菌群</w:t>
      </w:r>
    </w:p>
    <w:p>
      <w:pPr>
        <w:spacing w:line="594"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大肠菌群数超标的原因，可能是产品的加工原料、包装材料受污染，也可能是产品在生产过程中受人员、工器具等的污染，还可能是灭菌工艺灭菌不彻底导致的。</w:t>
      </w:r>
    </w:p>
    <w:p>
      <w:pPr>
        <w:keepNext w:val="0"/>
        <w:keepLines w:val="0"/>
        <w:pageBreakBefore w:val="0"/>
        <w:kinsoku/>
        <w:wordWrap/>
        <w:overflowPunct/>
        <w:topLinePunct w:val="0"/>
        <w:autoSpaceDE/>
        <w:autoSpaceDN/>
        <w:bidi w:val="0"/>
        <w:spacing w:line="590" w:lineRule="exact"/>
        <w:ind w:firstLine="592" w:firstLineChars="200"/>
        <w:textAlignment w:val="auto"/>
        <w:rPr>
          <w:rFonts w:hint="default" w:ascii="黑体" w:hAnsi="黑体" w:eastAsia="黑体"/>
          <w:color w:val="auto"/>
          <w:sz w:val="32"/>
          <w:szCs w:val="32"/>
          <w:lang w:val="en-US" w:eastAsia="zh-CN"/>
        </w:rPr>
      </w:pPr>
      <w:r>
        <w:rPr>
          <w:rFonts w:hint="eastAsia" w:eastAsia="黑体"/>
          <w:color w:val="auto"/>
          <w:spacing w:val="-12"/>
          <w:sz w:val="32"/>
          <w:szCs w:val="32"/>
          <w:lang w:val="en-US" w:eastAsia="zh-CN"/>
        </w:rPr>
        <w:t>四、</w:t>
      </w:r>
      <w:r>
        <w:rPr>
          <w:rFonts w:hint="eastAsia" w:ascii="黑体" w:hAnsi="黑体" w:eastAsia="黑体"/>
          <w:color w:val="auto"/>
          <w:sz w:val="32"/>
          <w:szCs w:val="32"/>
          <w:lang w:val="en-US" w:eastAsia="zh-CN"/>
        </w:rPr>
        <w:t>腐霉利</w:t>
      </w:r>
    </w:p>
    <w:p>
      <w:pPr>
        <w:spacing w:line="594" w:lineRule="exact"/>
        <w:ind w:firstLine="640" w:firstLineChars="200"/>
        <w:rPr>
          <w:rFonts w:ascii="Times New Roman" w:hAnsi="Times New Roman" w:eastAsia="仿宋_GB2312"/>
          <w:spacing w:val="0"/>
          <w:sz w:val="32"/>
          <w:szCs w:val="32"/>
        </w:rPr>
      </w:pPr>
      <w:r>
        <w:rPr>
          <w:rFonts w:ascii="Times New Roman" w:hAnsi="Times New Roman" w:eastAsia="仿宋_GB2312" w:cs="Times New Roman"/>
          <w:spacing w:val="0"/>
          <w:sz w:val="32"/>
          <w:szCs w:val="32"/>
        </w:rPr>
        <w:t>腐霉利是一种广谱内吸性的高效杀菌剂，对低温高湿条件下发生的灰霉病、菌核病有显著效果，但菌株容易对其产生抗性。</w:t>
      </w:r>
      <w:r>
        <w:rPr>
          <w:rFonts w:ascii="Times New Roman" w:hAnsi="Times New Roman" w:eastAsia="仿宋_GB2312"/>
          <w:spacing w:val="0"/>
          <w:sz w:val="32"/>
          <w:szCs w:val="32"/>
        </w:rPr>
        <w:t>少量的残留不会引起人体急性中毒，但长期食用</w:t>
      </w:r>
      <w:r>
        <w:rPr>
          <w:rFonts w:ascii="Times New Roman" w:hAnsi="Times New Roman" w:eastAsia="仿宋_GB2312" w:cs="Times New Roman"/>
          <w:spacing w:val="0"/>
          <w:sz w:val="32"/>
          <w:szCs w:val="32"/>
        </w:rPr>
        <w:t>腐霉利</w:t>
      </w:r>
      <w:r>
        <w:rPr>
          <w:rFonts w:ascii="Times New Roman" w:hAnsi="Times New Roman" w:eastAsia="仿宋_GB2312"/>
          <w:spacing w:val="0"/>
          <w:sz w:val="32"/>
          <w:szCs w:val="32"/>
        </w:rPr>
        <w:t>超标的食品，对人体健康可能有一定影响。</w:t>
      </w:r>
      <w:r>
        <w:rPr>
          <w:rFonts w:ascii="Times New Roman" w:hAnsi="Times New Roman" w:eastAsia="仿宋_GB2312" w:cs="Times New Roman"/>
          <w:spacing w:val="0"/>
          <w:sz w:val="32"/>
          <w:szCs w:val="32"/>
        </w:rPr>
        <w:t>《食品安全国家标准 食品中农药最大残留限量》（GB 2763</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2019）中规定，腐霉利在韭菜中的最大残留限量值为0.2mg/kg。</w:t>
      </w:r>
      <w:r>
        <w:rPr>
          <w:rFonts w:hint="eastAsia" w:ascii="Times New Roman" w:hAnsi="Times New Roman" w:eastAsia="仿宋_GB2312" w:cs="Times New Roman"/>
          <w:spacing w:val="0"/>
          <w:sz w:val="32"/>
          <w:szCs w:val="32"/>
        </w:rPr>
        <w:t>韭菜中腐霉利残留量</w:t>
      </w:r>
      <w:r>
        <w:rPr>
          <w:rFonts w:ascii="Times New Roman" w:hAnsi="Times New Roman" w:eastAsia="仿宋_GB2312" w:cs="Times New Roman"/>
          <w:spacing w:val="0"/>
          <w:sz w:val="32"/>
          <w:szCs w:val="32"/>
        </w:rPr>
        <w:t>超标的原因</w:t>
      </w:r>
      <w:r>
        <w:rPr>
          <w:rFonts w:hint="eastAsia" w:ascii="Times New Roman" w:hAnsi="Times New Roman" w:eastAsia="仿宋_GB2312" w:cs="Times New Roman"/>
          <w:spacing w:val="0"/>
          <w:sz w:val="32"/>
          <w:szCs w:val="32"/>
        </w:rPr>
        <w:t>，</w:t>
      </w:r>
      <w:r>
        <w:rPr>
          <w:rFonts w:ascii="Times New Roman" w:hAnsi="Times New Roman" w:eastAsia="仿宋_GB2312"/>
          <w:spacing w:val="0"/>
          <w:sz w:val="32"/>
          <w:szCs w:val="32"/>
        </w:rPr>
        <w:t>可能是</w:t>
      </w:r>
      <w:r>
        <w:rPr>
          <w:rFonts w:hint="eastAsia" w:ascii="Times New Roman" w:hAnsi="Times New Roman" w:eastAsia="仿宋_GB2312"/>
          <w:spacing w:val="0"/>
          <w:sz w:val="32"/>
          <w:szCs w:val="32"/>
        </w:rPr>
        <w:t>为</w:t>
      </w:r>
      <w:r>
        <w:rPr>
          <w:rFonts w:ascii="Times New Roman" w:hAnsi="Times New Roman" w:eastAsia="仿宋_GB2312"/>
          <w:spacing w:val="0"/>
          <w:sz w:val="32"/>
          <w:szCs w:val="32"/>
        </w:rPr>
        <w:t>快速控制</w:t>
      </w:r>
      <w:r>
        <w:rPr>
          <w:rFonts w:hint="eastAsia" w:ascii="Times New Roman" w:hAnsi="Times New Roman" w:eastAsia="仿宋_GB2312"/>
          <w:spacing w:val="0"/>
          <w:sz w:val="32"/>
          <w:szCs w:val="32"/>
          <w:lang w:eastAsia="zh-CN"/>
        </w:rPr>
        <w:t>虫害</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加大用药量</w:t>
      </w:r>
      <w:r>
        <w:rPr>
          <w:rFonts w:hint="eastAsia" w:ascii="Times New Roman" w:hAnsi="Times New Roman" w:eastAsia="仿宋_GB2312"/>
          <w:spacing w:val="0"/>
          <w:sz w:val="32"/>
          <w:szCs w:val="32"/>
        </w:rPr>
        <w:t>或</w:t>
      </w:r>
      <w:r>
        <w:rPr>
          <w:rFonts w:ascii="Times New Roman" w:hAnsi="Times New Roman" w:eastAsia="仿宋_GB2312"/>
          <w:spacing w:val="0"/>
          <w:sz w:val="32"/>
          <w:szCs w:val="32"/>
        </w:rPr>
        <w:t>未遵守采摘间隔期</w:t>
      </w:r>
      <w:r>
        <w:rPr>
          <w:rFonts w:hint="eastAsia" w:ascii="Times New Roman" w:hAnsi="Times New Roman" w:eastAsia="仿宋_GB2312"/>
          <w:spacing w:val="0"/>
          <w:sz w:val="32"/>
          <w:szCs w:val="32"/>
        </w:rPr>
        <w:t>规定</w:t>
      </w:r>
      <w:r>
        <w:rPr>
          <w:rFonts w:ascii="Times New Roman" w:hAnsi="Times New Roman" w:eastAsia="仿宋_GB2312"/>
          <w:spacing w:val="0"/>
          <w:sz w:val="32"/>
          <w:szCs w:val="32"/>
        </w:rPr>
        <w:t>，致使上市销售</w:t>
      </w:r>
      <w:r>
        <w:rPr>
          <w:rFonts w:hint="eastAsia" w:ascii="Times New Roman" w:hAnsi="Times New Roman" w:eastAsia="仿宋_GB2312"/>
          <w:spacing w:val="0"/>
          <w:sz w:val="32"/>
          <w:szCs w:val="32"/>
        </w:rPr>
        <w:t>的产品中残留量超标</w:t>
      </w:r>
      <w:r>
        <w:rPr>
          <w:rFonts w:ascii="Times New Roman" w:hAnsi="Times New Roman" w:eastAsia="仿宋_GB2312"/>
          <w:spacing w:val="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lang w:val="en-US" w:eastAsia="zh-CN"/>
        </w:rPr>
      </w:pPr>
      <w:r>
        <w:rPr>
          <w:rFonts w:hint="eastAsia" w:ascii="Times New Roman" w:hAnsi="Times New Roman" w:eastAsia="黑体"/>
          <w:color w:val="auto"/>
          <w:kern w:val="0"/>
          <w:sz w:val="32"/>
          <w:szCs w:val="32"/>
          <w:lang w:val="en-US" w:eastAsia="zh-CN"/>
        </w:rPr>
        <w:t>五、</w:t>
      </w:r>
      <w:r>
        <w:rPr>
          <w:rFonts w:hint="eastAsia" w:ascii="黑体" w:hAnsi="黑体" w:eastAsia="黑体"/>
          <w:color w:val="auto"/>
          <w:sz w:val="32"/>
          <w:szCs w:val="32"/>
          <w:lang w:val="en-US" w:eastAsia="zh-CN"/>
        </w:rPr>
        <w:t>苯醚甲环唑</w:t>
      </w:r>
    </w:p>
    <w:p>
      <w:pPr>
        <w:spacing w:line="594"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苯醚甲环唑是三唑类杀菌剂，广泛应用于果树、蔬菜等作物，有效防治黑星病，黑痘病、白腐病、斑点落叶病、白粉病、褐斑病、锈病、条锈病、赤霉病等。属低毒农药。</w:t>
      </w:r>
      <w:r>
        <w:rPr>
          <w:rFonts w:ascii="Times New Roman" w:hAnsi="Times New Roman" w:eastAsia="仿宋_GB2312" w:cs="Times New Roman"/>
          <w:spacing w:val="0"/>
          <w:sz w:val="32"/>
          <w:szCs w:val="32"/>
        </w:rPr>
        <w:t>《食品安全国家标准 食品中农药最大残留限量》（GB 2763</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2019）中规定，</w:t>
      </w:r>
      <w:r>
        <w:rPr>
          <w:rFonts w:hint="eastAsia" w:ascii="Times New Roman" w:hAnsi="Times New Roman" w:eastAsia="仿宋_GB2312" w:cs="Times New Roman"/>
          <w:spacing w:val="0"/>
          <w:sz w:val="32"/>
          <w:szCs w:val="32"/>
          <w:lang w:val="en-US" w:eastAsia="zh-CN"/>
        </w:rPr>
        <w:t>苯醚甲环唑</w:t>
      </w:r>
      <w:r>
        <w:rPr>
          <w:rFonts w:ascii="Times New Roman" w:hAnsi="Times New Roman" w:eastAsia="仿宋_GB2312" w:cs="Times New Roman"/>
          <w:spacing w:val="0"/>
          <w:sz w:val="32"/>
          <w:szCs w:val="32"/>
        </w:rPr>
        <w:t>在</w:t>
      </w:r>
      <w:r>
        <w:rPr>
          <w:rFonts w:hint="eastAsia" w:ascii="Times New Roman" w:hAnsi="Times New Roman" w:eastAsia="仿宋_GB2312" w:cs="Times New Roman"/>
          <w:spacing w:val="0"/>
          <w:sz w:val="32"/>
          <w:szCs w:val="32"/>
        </w:rPr>
        <w:t>砂糖橘</w:t>
      </w:r>
      <w:r>
        <w:rPr>
          <w:rFonts w:ascii="Times New Roman" w:hAnsi="Times New Roman" w:eastAsia="仿宋_GB2312" w:cs="Times New Roman"/>
          <w:spacing w:val="0"/>
          <w:sz w:val="32"/>
          <w:szCs w:val="32"/>
        </w:rPr>
        <w:t>中的最大残留限量值为0.2mg/kg。</w:t>
      </w:r>
      <w:r>
        <w:rPr>
          <w:rFonts w:hint="eastAsia" w:ascii="Times New Roman" w:hAnsi="Times New Roman" w:eastAsia="仿宋_GB2312" w:cs="Times New Roman"/>
          <w:spacing w:val="0"/>
          <w:sz w:val="32"/>
          <w:szCs w:val="32"/>
        </w:rPr>
        <w:t>残留量</w:t>
      </w:r>
      <w:r>
        <w:rPr>
          <w:rFonts w:ascii="Times New Roman" w:hAnsi="Times New Roman" w:eastAsia="仿宋_GB2312" w:cs="Times New Roman"/>
          <w:spacing w:val="0"/>
          <w:sz w:val="32"/>
          <w:szCs w:val="32"/>
        </w:rPr>
        <w:t>超标的原因</w:t>
      </w:r>
      <w:r>
        <w:rPr>
          <w:rFonts w:hint="eastAsia" w:ascii="Times New Roman" w:hAnsi="Times New Roman" w:eastAsia="仿宋_GB2312" w:cs="Times New Roman"/>
          <w:spacing w:val="0"/>
          <w:sz w:val="32"/>
          <w:szCs w:val="32"/>
        </w:rPr>
        <w:t>，</w:t>
      </w:r>
      <w:r>
        <w:rPr>
          <w:rFonts w:ascii="Times New Roman" w:hAnsi="Times New Roman" w:eastAsia="仿宋_GB2312"/>
          <w:spacing w:val="0"/>
          <w:sz w:val="32"/>
          <w:szCs w:val="32"/>
        </w:rPr>
        <w:t>可能是</w:t>
      </w:r>
      <w:r>
        <w:rPr>
          <w:rFonts w:hint="eastAsia" w:ascii="Times New Roman" w:hAnsi="Times New Roman" w:eastAsia="仿宋_GB2312"/>
          <w:spacing w:val="0"/>
          <w:sz w:val="32"/>
          <w:szCs w:val="32"/>
        </w:rPr>
        <w:t>为</w:t>
      </w:r>
      <w:r>
        <w:rPr>
          <w:rFonts w:ascii="Times New Roman" w:hAnsi="Times New Roman" w:eastAsia="仿宋_GB2312"/>
          <w:spacing w:val="0"/>
          <w:sz w:val="32"/>
          <w:szCs w:val="32"/>
        </w:rPr>
        <w:t>快速控制</w:t>
      </w:r>
      <w:r>
        <w:rPr>
          <w:rFonts w:hint="eastAsia" w:ascii="Times New Roman" w:hAnsi="Times New Roman" w:eastAsia="仿宋_GB2312"/>
          <w:spacing w:val="0"/>
          <w:sz w:val="32"/>
          <w:szCs w:val="32"/>
          <w:lang w:eastAsia="zh-CN"/>
        </w:rPr>
        <w:t>虫害</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加大用药量</w:t>
      </w:r>
      <w:r>
        <w:rPr>
          <w:rFonts w:hint="eastAsia" w:ascii="Times New Roman" w:hAnsi="Times New Roman" w:eastAsia="仿宋_GB2312"/>
          <w:spacing w:val="0"/>
          <w:sz w:val="32"/>
          <w:szCs w:val="32"/>
        </w:rPr>
        <w:t>或</w:t>
      </w:r>
      <w:r>
        <w:rPr>
          <w:rFonts w:ascii="Times New Roman" w:hAnsi="Times New Roman" w:eastAsia="仿宋_GB2312"/>
          <w:spacing w:val="0"/>
          <w:sz w:val="32"/>
          <w:szCs w:val="32"/>
        </w:rPr>
        <w:t>未遵守采摘间隔期</w:t>
      </w:r>
      <w:r>
        <w:rPr>
          <w:rFonts w:hint="eastAsia" w:ascii="Times New Roman" w:hAnsi="Times New Roman" w:eastAsia="仿宋_GB2312"/>
          <w:spacing w:val="0"/>
          <w:sz w:val="32"/>
          <w:szCs w:val="32"/>
        </w:rPr>
        <w:t>规定</w:t>
      </w:r>
      <w:r>
        <w:rPr>
          <w:rFonts w:ascii="Times New Roman" w:hAnsi="Times New Roman" w:eastAsia="仿宋_GB2312"/>
          <w:spacing w:val="0"/>
          <w:sz w:val="32"/>
          <w:szCs w:val="32"/>
        </w:rPr>
        <w:t>，致使上市销售</w:t>
      </w:r>
      <w:r>
        <w:rPr>
          <w:rFonts w:hint="eastAsia" w:ascii="Times New Roman" w:hAnsi="Times New Roman" w:eastAsia="仿宋_GB2312"/>
          <w:spacing w:val="0"/>
          <w:sz w:val="32"/>
          <w:szCs w:val="32"/>
        </w:rPr>
        <w:t>的产品中残留量超标</w:t>
      </w:r>
      <w:r>
        <w:rPr>
          <w:rFonts w:ascii="Times New Roman" w:hAnsi="Times New Roman" w:eastAsia="仿宋_GB2312"/>
          <w:spacing w:val="0"/>
          <w:sz w:val="32"/>
          <w:szCs w:val="32"/>
        </w:rPr>
        <w:t>。</w:t>
      </w:r>
    </w:p>
    <w:p>
      <w:pPr>
        <w:pStyle w:val="2"/>
        <w:rPr>
          <w:rFonts w:hint="eastAsia"/>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六、铅(以Pb计)</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铅是</w:t>
      </w:r>
      <w:r>
        <w:rPr>
          <w:rFonts w:hint="eastAsia" w:ascii="Times New Roman" w:hAnsi="Times New Roman" w:eastAsia="仿宋_GB2312" w:cstheme="minorBidi"/>
          <w:color w:val="auto"/>
          <w:kern w:val="2"/>
          <w:sz w:val="32"/>
          <w:szCs w:val="32"/>
          <w:lang w:val="en-US" w:eastAsia="zh-CN" w:bidi="ar-SA"/>
        </w:rPr>
        <w:t>最常见的重金属污染物，是一种严重危害人体健康的重金属元素，可在人体内蓄积。长期摄入铅含量超标的食品，会对血液系统、神经系统产生损害。</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七、过氧化值</w:t>
      </w:r>
    </w:p>
    <w:p>
      <w:pPr>
        <w:keepNext w:val="0"/>
        <w:keepLines w:val="0"/>
        <w:pageBreakBefore w:val="0"/>
        <w:kinsoku/>
        <w:wordWrap/>
        <w:overflowPunct/>
        <w:topLinePunct w:val="0"/>
        <w:autoSpaceDE/>
        <w:autoSpaceDN/>
        <w:bidi w:val="0"/>
        <w:spacing w:line="590" w:lineRule="exact"/>
        <w:ind w:firstLine="640" w:firstLineChars="200"/>
        <w:rPr>
          <w:rFonts w:hint="eastAsia" w:ascii="Times New Roman" w:hAnsi="Times New Roman" w:eastAsia="黑体" w:cs="Times New Roman"/>
          <w:sz w:val="32"/>
          <w:szCs w:val="32"/>
          <w:lang w:val="en-US" w:eastAsia="zh-CN"/>
        </w:rPr>
      </w:pPr>
      <w:r>
        <w:rPr>
          <w:rFonts w:ascii="仿宋_GB2312" w:hAnsi="宋体" w:eastAsia="仿宋_GB2312"/>
          <w:color w:val="auto"/>
          <w:kern w:val="0"/>
          <w:sz w:val="32"/>
          <w:szCs w:val="32"/>
        </w:rPr>
        <w:t>过氧化值主要反映</w:t>
      </w:r>
      <w:r>
        <w:rPr>
          <w:rFonts w:hint="eastAsia" w:ascii="仿宋_GB2312" w:hAnsi="宋体" w:eastAsia="仿宋_GB2312"/>
          <w:color w:val="auto"/>
          <w:kern w:val="0"/>
          <w:sz w:val="32"/>
          <w:szCs w:val="32"/>
        </w:rPr>
        <w:t>食品中</w:t>
      </w:r>
      <w:r>
        <w:rPr>
          <w:rFonts w:ascii="仿宋_GB2312" w:hAnsi="宋体" w:eastAsia="仿宋_GB2312"/>
          <w:color w:val="auto"/>
          <w:kern w:val="0"/>
          <w:sz w:val="32"/>
          <w:szCs w:val="32"/>
        </w:rPr>
        <w:t>油脂是否氧化变质</w:t>
      </w:r>
      <w:r>
        <w:rPr>
          <w:rFonts w:hint="eastAsia" w:ascii="仿宋_GB2312" w:hAnsi="宋体" w:eastAsia="仿宋_GB2312"/>
          <w:color w:val="auto"/>
          <w:kern w:val="0"/>
          <w:sz w:val="32"/>
          <w:szCs w:val="32"/>
        </w:rPr>
        <w:t>，</w:t>
      </w:r>
      <w:r>
        <w:rPr>
          <w:rFonts w:ascii="仿宋_GB2312" w:hAnsi="宋体" w:eastAsia="仿宋_GB2312"/>
          <w:color w:val="auto"/>
          <w:kern w:val="0"/>
          <w:sz w:val="32"/>
          <w:szCs w:val="32"/>
        </w:rPr>
        <w:t>随着油脂氧化，过氧化值会逐步升高</w:t>
      </w:r>
      <w:r>
        <w:rPr>
          <w:rFonts w:hint="eastAsia" w:ascii="仿宋_GB2312" w:hAnsi="宋体" w:eastAsia="仿宋_GB2312"/>
          <w:color w:val="auto"/>
          <w:kern w:val="0"/>
          <w:sz w:val="32"/>
          <w:szCs w:val="32"/>
        </w:rPr>
        <w:t>。</w:t>
      </w:r>
      <w:r>
        <w:rPr>
          <w:rFonts w:ascii="仿宋_GB2312" w:eastAsia="仿宋_GB2312"/>
          <w:color w:val="auto"/>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color w:val="auto"/>
          <w:kern w:val="0"/>
          <w:sz w:val="32"/>
          <w:szCs w:val="32"/>
        </w:rPr>
        <w:t>过氧化值一般不会对人体的健康产生损害，但严重时会导致肠胃不适、腹泻等症状。</w:t>
      </w:r>
    </w:p>
    <w:p>
      <w:pPr>
        <w:keepNext w:val="0"/>
        <w:keepLines w:val="0"/>
        <w:pageBreakBefore w:val="0"/>
        <w:widowControl w:val="0"/>
        <w:kinsoku/>
        <w:wordWrap/>
        <w:overflowPunct/>
        <w:topLinePunct w:val="0"/>
        <w:autoSpaceDE/>
        <w:autoSpaceDN/>
        <w:bidi w:val="0"/>
        <w:snapToGrid/>
        <w:spacing w:line="590" w:lineRule="exact"/>
        <w:ind w:firstLine="592" w:firstLineChars="200"/>
        <w:textAlignment w:val="auto"/>
        <w:rPr>
          <w:rFonts w:hint="eastAsia" w:ascii="黑体" w:hAnsi="黑体" w:eastAsia="黑体"/>
          <w:color w:val="auto"/>
          <w:spacing w:val="-12"/>
          <w:sz w:val="32"/>
          <w:szCs w:val="32"/>
          <w:lang w:eastAsia="zh-CN"/>
        </w:rPr>
      </w:pPr>
      <w:r>
        <w:rPr>
          <w:rFonts w:hint="eastAsia" w:ascii="黑体" w:hAnsi="黑体" w:eastAsia="黑体"/>
          <w:color w:val="auto"/>
          <w:spacing w:val="-12"/>
          <w:sz w:val="32"/>
          <w:szCs w:val="32"/>
          <w:lang w:val="en-US" w:eastAsia="zh-CN"/>
        </w:rPr>
        <w:t>八、</w:t>
      </w:r>
      <w:r>
        <w:rPr>
          <w:rFonts w:hint="eastAsia" w:ascii="黑体" w:hAnsi="黑体" w:eastAsia="黑体"/>
          <w:color w:val="auto"/>
          <w:spacing w:val="-12"/>
          <w:sz w:val="32"/>
          <w:szCs w:val="32"/>
          <w:lang w:eastAsia="zh-CN"/>
        </w:rPr>
        <w:t>铝的残留量(干样品，以Al计)</w:t>
      </w:r>
    </w:p>
    <w:p>
      <w:pPr>
        <w:spacing w:line="594"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spacing w:val="0"/>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铝的残留量</w:t>
      </w:r>
      <w:r>
        <w:rPr>
          <w:rFonts w:hint="eastAsia" w:ascii="Times New Roman" w:hAnsi="Times New Roman" w:eastAsia="仿宋_GB2312" w:cs="Times New Roman"/>
          <w:spacing w:val="0"/>
          <w:sz w:val="32"/>
          <w:szCs w:val="32"/>
        </w:rPr>
        <w:t>（干样品，以</w:t>
      </w:r>
      <w:r>
        <w:rPr>
          <w:rFonts w:ascii="Times New Roman" w:hAnsi="Times New Roman" w:eastAsia="仿宋_GB2312" w:cs="Times New Roman"/>
          <w:spacing w:val="0"/>
          <w:sz w:val="32"/>
          <w:szCs w:val="32"/>
        </w:rPr>
        <w:t>Al</w:t>
      </w:r>
      <w:r>
        <w:rPr>
          <w:rFonts w:hint="eastAsia" w:ascii="Times New Roman" w:hAnsi="Times New Roman" w:eastAsia="仿宋_GB2312" w:cs="Times New Roman"/>
          <w:spacing w:val="0"/>
          <w:sz w:val="32"/>
          <w:szCs w:val="32"/>
        </w:rPr>
        <w:t>计）</w:t>
      </w:r>
      <w:r>
        <w:rPr>
          <w:rFonts w:ascii="Times New Roman" w:hAnsi="Times New Roman" w:eastAsia="仿宋_GB2312" w:cs="Times New Roman"/>
          <w:spacing w:val="0"/>
          <w:sz w:val="32"/>
          <w:szCs w:val="32"/>
        </w:rPr>
        <w:t>超标的原因，可能是个别企业为增加产品口感，在生产加工过程中超限量使用含铝食品添加剂</w:t>
      </w:r>
      <w:r>
        <w:rPr>
          <w:rFonts w:hint="eastAsia" w:ascii="Times New Roman" w:hAnsi="Times New Roman" w:eastAsia="仿宋_GB2312" w:cs="Times New Roman"/>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heme="minorBidi"/>
          <w:b/>
          <w:bCs/>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4D81A7C"/>
    <w:rsid w:val="05B075F0"/>
    <w:rsid w:val="07503655"/>
    <w:rsid w:val="09613572"/>
    <w:rsid w:val="098168D4"/>
    <w:rsid w:val="09E0572E"/>
    <w:rsid w:val="0A4011CE"/>
    <w:rsid w:val="0B1C7DDA"/>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C26E4B"/>
    <w:rsid w:val="4EED2BC8"/>
    <w:rsid w:val="4F932387"/>
    <w:rsid w:val="4FAB5F46"/>
    <w:rsid w:val="50163F73"/>
    <w:rsid w:val="50565800"/>
    <w:rsid w:val="50C17233"/>
    <w:rsid w:val="51896A13"/>
    <w:rsid w:val="51AA4038"/>
    <w:rsid w:val="51FD239C"/>
    <w:rsid w:val="52941F38"/>
    <w:rsid w:val="52A6769D"/>
    <w:rsid w:val="53910666"/>
    <w:rsid w:val="53DD4918"/>
    <w:rsid w:val="5473169E"/>
    <w:rsid w:val="54C904D3"/>
    <w:rsid w:val="550115C8"/>
    <w:rsid w:val="554D75AB"/>
    <w:rsid w:val="55515C48"/>
    <w:rsid w:val="55BE0029"/>
    <w:rsid w:val="566F178F"/>
    <w:rsid w:val="583D6A55"/>
    <w:rsid w:val="58BF1D4C"/>
    <w:rsid w:val="58C52A1E"/>
    <w:rsid w:val="5900754B"/>
    <w:rsid w:val="591702CA"/>
    <w:rsid w:val="59203A01"/>
    <w:rsid w:val="59A5289E"/>
    <w:rsid w:val="59A56ED4"/>
    <w:rsid w:val="5AF17BBB"/>
    <w:rsid w:val="5B7936AC"/>
    <w:rsid w:val="5BDC6E44"/>
    <w:rsid w:val="5C6258A4"/>
    <w:rsid w:val="5C6607D4"/>
    <w:rsid w:val="5CF357D6"/>
    <w:rsid w:val="5E1C3364"/>
    <w:rsid w:val="5E3C6DCB"/>
    <w:rsid w:val="5E3D638B"/>
    <w:rsid w:val="5E82604C"/>
    <w:rsid w:val="5E9F7D04"/>
    <w:rsid w:val="5EB3567B"/>
    <w:rsid w:val="5FB4017C"/>
    <w:rsid w:val="5FC04A10"/>
    <w:rsid w:val="5FF86B48"/>
    <w:rsid w:val="6009023D"/>
    <w:rsid w:val="616D5BEF"/>
    <w:rsid w:val="62106968"/>
    <w:rsid w:val="62733EE5"/>
    <w:rsid w:val="62A23EF9"/>
    <w:rsid w:val="62E64A8D"/>
    <w:rsid w:val="637B6589"/>
    <w:rsid w:val="63E519B6"/>
    <w:rsid w:val="63E60C8E"/>
    <w:rsid w:val="645F7C77"/>
    <w:rsid w:val="648F5B34"/>
    <w:rsid w:val="64BA3CE8"/>
    <w:rsid w:val="65110BD0"/>
    <w:rsid w:val="65660390"/>
    <w:rsid w:val="65BA2B92"/>
    <w:rsid w:val="6655217A"/>
    <w:rsid w:val="66F73F16"/>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D776A"/>
    <w:rsid w:val="7802718C"/>
    <w:rsid w:val="78516857"/>
    <w:rsid w:val="787917F5"/>
    <w:rsid w:val="78941FDE"/>
    <w:rsid w:val="79425C88"/>
    <w:rsid w:val="79E41CD7"/>
    <w:rsid w:val="7A27777B"/>
    <w:rsid w:val="7B5D2F26"/>
    <w:rsid w:val="7B7721FC"/>
    <w:rsid w:val="7C833972"/>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2021-07-30T01:22:29Z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